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52" w:rsidRDefault="004B5C52" w:rsidP="004B5C52">
      <w:pPr>
        <w:pStyle w:val="NormalWeb"/>
        <w:spacing w:before="0" w:beforeAutospacing="0" w:after="120" w:afterAutospacing="0"/>
        <w:jc w:val="center"/>
        <w:rPr>
          <w:b/>
        </w:rPr>
      </w:pPr>
      <w:r w:rsidRPr="004B5C52">
        <w:rPr>
          <w:b/>
        </w:rPr>
        <w:t xml:space="preserve">SKELBIMAS </w:t>
      </w:r>
    </w:p>
    <w:p w:rsidR="004B5C52" w:rsidRPr="004B5C52" w:rsidRDefault="004B5C52" w:rsidP="004B5C52">
      <w:pPr>
        <w:pStyle w:val="NormalWeb"/>
        <w:spacing w:before="0" w:beforeAutospacing="0" w:after="120" w:afterAutospacing="0"/>
        <w:jc w:val="center"/>
        <w:rPr>
          <w:b/>
        </w:rPr>
      </w:pPr>
      <w:r w:rsidRPr="004B5C52">
        <w:rPr>
          <w:b/>
        </w:rPr>
        <w:t>DĖL TURTO PARDAVIMO VIEŠAJAME AUKCIONE</w:t>
      </w:r>
    </w:p>
    <w:p w:rsidR="005C337D" w:rsidRDefault="005C337D" w:rsidP="0078614D">
      <w:pPr>
        <w:pStyle w:val="NormalWeb"/>
        <w:spacing w:before="0" w:beforeAutospacing="0" w:after="120" w:afterAutospacing="0"/>
        <w:jc w:val="both"/>
      </w:pPr>
      <w:r w:rsidRPr="005C337D">
        <w:t xml:space="preserve">Valstybinė atominės energetikos saugos inspekcija skelbia nereikalingo arba netinkamo (negalimo) naudoti ilgalaikio materialaus turto ir </w:t>
      </w:r>
      <w:r w:rsidR="003D4115">
        <w:t>atsargų (</w:t>
      </w:r>
      <w:r w:rsidRPr="005C337D">
        <w:t>ūkinio inventoriaus</w:t>
      </w:r>
      <w:r w:rsidR="003D4115">
        <w:t>)</w:t>
      </w:r>
      <w:r w:rsidRPr="005C337D">
        <w:t xml:space="preserve"> pardavimo viešąjį aukcioną</w:t>
      </w:r>
      <w:r>
        <w:t>.</w:t>
      </w:r>
      <w:r w:rsidRPr="005C337D">
        <w:rPr>
          <w:rStyle w:val="Strong"/>
          <w:b w:val="0"/>
        </w:rPr>
        <w:t xml:space="preserve"> </w:t>
      </w:r>
      <w:r>
        <w:t xml:space="preserve">Aukcionas </w:t>
      </w:r>
      <w:r w:rsidRPr="005C337D">
        <w:t xml:space="preserve">vyks </w:t>
      </w:r>
      <w:r w:rsidR="008E5E51" w:rsidRPr="008E5E51">
        <w:t>2019 m. gegužės 27 d. 10 val. 00</w:t>
      </w:r>
      <w:r w:rsidR="008E5E51">
        <w:t xml:space="preserve"> min</w:t>
      </w:r>
      <w:r>
        <w:t xml:space="preserve">. </w:t>
      </w:r>
      <w:r w:rsidRPr="005C337D">
        <w:t>Valstybinės atominės energetikos saugos inspekcijos patalpose adresu A. Goštauto g. 12, Vilnius</w:t>
      </w:r>
      <w:r>
        <w:t xml:space="preserve">, 228 kabinete. Aukciono dalyviai bus registruojami nuo 9.00 iki 9.50 val. pagal asmens tapatybę patvirtinantį dokumentą. Jeigu dalyvaus pirkėjo atstovas, jis privalo turėti atstovavimą patvirtinančius dokumentus. </w:t>
      </w:r>
    </w:p>
    <w:p w:rsidR="005C337D" w:rsidRDefault="005C337D" w:rsidP="0078614D">
      <w:pPr>
        <w:pStyle w:val="NormalWeb"/>
        <w:spacing w:before="0" w:beforeAutospacing="0" w:after="120" w:afterAutospacing="0"/>
        <w:jc w:val="both"/>
      </w:pPr>
      <w:r>
        <w:t>D</w:t>
      </w:r>
      <w:r w:rsidRPr="005C337D">
        <w:t>alyvavimas aukcione fiziniams ir juridiniams asmenims yra nemokamas</w:t>
      </w:r>
      <w:r>
        <w:t xml:space="preserve">. </w:t>
      </w:r>
    </w:p>
    <w:p w:rsidR="005C337D" w:rsidRPr="005C337D" w:rsidRDefault="005C337D" w:rsidP="0078614D">
      <w:pPr>
        <w:pStyle w:val="NormalWeb"/>
        <w:spacing w:before="0" w:beforeAutospacing="0" w:after="120" w:afterAutospacing="0"/>
        <w:jc w:val="both"/>
      </w:pPr>
      <w:r>
        <w:t xml:space="preserve">Parduodamą turtą nemokamai galima apžiūrėti </w:t>
      </w:r>
      <w:r w:rsidR="008E5E51" w:rsidRPr="008E5E51">
        <w:rPr>
          <w:lang w:eastAsia="en-US"/>
        </w:rPr>
        <w:t>2019 m. gegužės 22</w:t>
      </w:r>
      <w:r w:rsidR="00D56F5C">
        <w:rPr>
          <w:lang w:eastAsia="en-US"/>
        </w:rPr>
        <w:t>–</w:t>
      </w:r>
      <w:r w:rsidR="008E5E51" w:rsidRPr="008E5E51">
        <w:rPr>
          <w:lang w:eastAsia="en-US"/>
        </w:rPr>
        <w:t>24 d.</w:t>
      </w:r>
      <w:r w:rsidRPr="005C337D">
        <w:rPr>
          <w:lang w:eastAsia="en-US"/>
        </w:rPr>
        <w:t xml:space="preserve"> </w:t>
      </w:r>
      <w:r>
        <w:t xml:space="preserve">iš anksto sutarus su atsakingu darbuotoju – </w:t>
      </w:r>
      <w:r w:rsidRPr="005C337D">
        <w:t>Administravimo departamento Turto valdymo ir viešųjų pirkimų skyriaus vyriausi</w:t>
      </w:r>
      <w:r>
        <w:t>uoju</w:t>
      </w:r>
      <w:r w:rsidRPr="005C337D">
        <w:t xml:space="preserve"> specialist</w:t>
      </w:r>
      <w:r>
        <w:t>u</w:t>
      </w:r>
      <w:r w:rsidRPr="005C337D">
        <w:t xml:space="preserve"> Aleks</w:t>
      </w:r>
      <w:r>
        <w:t>u</w:t>
      </w:r>
      <w:r w:rsidRPr="005C337D">
        <w:t xml:space="preserve"> Siaurusevičiu</w:t>
      </w:r>
      <w:r>
        <w:t xml:space="preserve">mi </w:t>
      </w:r>
      <w:r w:rsidRPr="005C337D">
        <w:t>tel</w:t>
      </w:r>
      <w:r w:rsidRPr="005C337D">
        <w:rPr>
          <w:rStyle w:val="Strong"/>
          <w:b w:val="0"/>
        </w:rPr>
        <w:t xml:space="preserve">. </w:t>
      </w:r>
      <w:r w:rsidR="00D56F5C">
        <w:rPr>
          <w:rStyle w:val="Strong"/>
          <w:b w:val="0"/>
        </w:rPr>
        <w:t>(</w:t>
      </w:r>
      <w:r w:rsidRPr="005C337D">
        <w:t>8 5</w:t>
      </w:r>
      <w:r w:rsidR="00D56F5C">
        <w:t>)</w:t>
      </w:r>
      <w:r>
        <w:t xml:space="preserve"> 266 1558</w:t>
      </w:r>
      <w:r w:rsidRPr="005C337D">
        <w:rPr>
          <w:rStyle w:val="Strong"/>
          <w:b w:val="0"/>
        </w:rPr>
        <w:t>,</w:t>
      </w:r>
      <w:r w:rsidRPr="005C337D">
        <w:rPr>
          <w:rStyle w:val="Strong"/>
        </w:rPr>
        <w:t xml:space="preserve"> </w:t>
      </w:r>
      <w:r w:rsidRPr="005C337D">
        <w:t>el. p.</w:t>
      </w:r>
      <w:r w:rsidRPr="005C337D">
        <w:rPr>
          <w:rStyle w:val="Strong"/>
          <w:b w:val="0"/>
        </w:rPr>
        <w:t xml:space="preserve"> </w:t>
      </w:r>
      <w:hyperlink r:id="rId8" w:history="1">
        <w:r w:rsidRPr="00594E75">
          <w:rPr>
            <w:rStyle w:val="Hyperlink"/>
          </w:rPr>
          <w:t>aleksas.siaurusevicius@vatesi.l</w:t>
        </w:r>
        <w:r w:rsidRPr="0078614D">
          <w:rPr>
            <w:rStyle w:val="Hyperlink"/>
          </w:rPr>
          <w:t>t</w:t>
        </w:r>
      </w:hyperlink>
      <w:r w:rsidRPr="005C337D">
        <w:t>)</w:t>
      </w:r>
      <w:r w:rsidRPr="005C337D">
        <w:rPr>
          <w:rStyle w:val="Strong"/>
          <w:b w:val="0"/>
        </w:rPr>
        <w:t>.</w:t>
      </w:r>
      <w:r w:rsidRPr="005C337D">
        <w:rPr>
          <w:b/>
        </w:rPr>
        <w:t xml:space="preserve"> </w:t>
      </w:r>
    </w:p>
    <w:p w:rsidR="0078614D" w:rsidRDefault="0078614D" w:rsidP="0078614D">
      <w:pPr>
        <w:pStyle w:val="BodyTextIndent2"/>
        <w:tabs>
          <w:tab w:val="left" w:pos="720"/>
        </w:tabs>
        <w:spacing w:after="0" w:line="240" w:lineRule="auto"/>
        <w:ind w:left="0"/>
        <w:jc w:val="both"/>
      </w:pPr>
      <w:r>
        <w:t>Minimalus kainos kėlimo intervalas:</w:t>
      </w:r>
    </w:p>
    <w:p w:rsidR="0078614D" w:rsidRDefault="0078614D" w:rsidP="0078614D">
      <w:pPr>
        <w:pStyle w:val="BodyTextIndent2"/>
        <w:tabs>
          <w:tab w:val="left" w:pos="720"/>
        </w:tabs>
        <w:spacing w:after="0" w:line="240" w:lineRule="auto"/>
        <w:ind w:left="0"/>
        <w:jc w:val="both"/>
      </w:pPr>
      <w:r>
        <w:t xml:space="preserve">1. kai turto kaina iki 10 Eur – 1 Eur; </w:t>
      </w:r>
    </w:p>
    <w:p w:rsidR="0078614D" w:rsidRDefault="0078614D" w:rsidP="0078614D">
      <w:pPr>
        <w:pStyle w:val="BodyTextIndent2"/>
        <w:tabs>
          <w:tab w:val="left" w:pos="720"/>
        </w:tabs>
        <w:spacing w:after="0" w:line="240" w:lineRule="auto"/>
        <w:ind w:left="0"/>
        <w:jc w:val="both"/>
      </w:pPr>
      <w:r>
        <w:t xml:space="preserve">2. kai turto kaina 10–50 Eur – 5 Eur; </w:t>
      </w:r>
    </w:p>
    <w:p w:rsidR="0078614D" w:rsidRDefault="0078614D" w:rsidP="0078614D">
      <w:pPr>
        <w:pStyle w:val="BodyTextIndent2"/>
        <w:tabs>
          <w:tab w:val="left" w:pos="720"/>
        </w:tabs>
        <w:spacing w:line="240" w:lineRule="auto"/>
        <w:ind w:left="0"/>
        <w:jc w:val="both"/>
      </w:pPr>
      <w:r>
        <w:t>3. kai turto kaina virš 50 Eur – 10 Eur.</w:t>
      </w:r>
    </w:p>
    <w:p w:rsidR="005C337D" w:rsidRDefault="005C337D" w:rsidP="0078614D">
      <w:pPr>
        <w:pStyle w:val="NormalWeb"/>
        <w:spacing w:before="0" w:beforeAutospacing="0" w:after="120" w:afterAutospacing="0"/>
        <w:jc w:val="both"/>
      </w:pPr>
      <w:r>
        <w:t xml:space="preserve">Trečiųjų asmenų teisių į parduodamą turtą nėra. </w:t>
      </w:r>
    </w:p>
    <w:p w:rsidR="005C337D" w:rsidRDefault="0078614D" w:rsidP="0078614D">
      <w:pPr>
        <w:pStyle w:val="NormalWeb"/>
        <w:spacing w:before="0" w:beforeAutospacing="0" w:after="120" w:afterAutospacing="0"/>
        <w:jc w:val="both"/>
      </w:pPr>
      <w:r>
        <w:t>U</w:t>
      </w:r>
      <w:r w:rsidRPr="0078614D">
        <w:t>ž aukcione įsigytą turtą atsiskaitoma banko pavedimu į Valstybinės atominės energetikos saugos inspekcijos sąskaitą per 3 darbo dienas po aukciono pabaigos</w:t>
      </w:r>
      <w:r w:rsidR="005C337D">
        <w:t xml:space="preserve">. </w:t>
      </w:r>
    </w:p>
    <w:p w:rsidR="005C337D" w:rsidRDefault="005C337D" w:rsidP="0078614D">
      <w:pPr>
        <w:pStyle w:val="NormalWeb"/>
        <w:spacing w:before="0" w:beforeAutospacing="0" w:after="120" w:afterAutospacing="0"/>
        <w:jc w:val="both"/>
      </w:pPr>
      <w:r>
        <w:t xml:space="preserve">Aukciono laimėtojas, laiku neatsiskaitęs už įsigytą turtą, neturės teisės dalyvauti naujame aukcione. Be to, jis privalės atlyginti </w:t>
      </w:r>
      <w:r w:rsidR="0078614D" w:rsidRPr="0078614D">
        <w:t>Valstybin</w:t>
      </w:r>
      <w:r w:rsidR="0078614D">
        <w:t>ei</w:t>
      </w:r>
      <w:r w:rsidR="0078614D" w:rsidRPr="0078614D">
        <w:t xml:space="preserve"> atominės energetikos saugos inspekcija</w:t>
      </w:r>
      <w:r w:rsidR="0078614D">
        <w:t>i</w:t>
      </w:r>
      <w:r w:rsidR="0078614D" w:rsidRPr="0078614D">
        <w:t xml:space="preserve"> </w:t>
      </w:r>
      <w:r>
        <w:t>naujo aukciono organizavimo bei rengimo išlaidas ir sumokėti kainų skirtumą, jeigu naujame aukcione turtas bus parduotas už mažesnę kainą negu ta, kurios nesumokėjo nesąžiningas pirkėjas.</w:t>
      </w:r>
    </w:p>
    <w:p w:rsidR="0078614D" w:rsidRDefault="004B5C52" w:rsidP="0078614D">
      <w:pPr>
        <w:pStyle w:val="NormalWeb"/>
        <w:spacing w:before="0" w:beforeAutospacing="0" w:after="120" w:afterAutospacing="0"/>
        <w:jc w:val="both"/>
      </w:pPr>
      <w:r>
        <w:t>Parduodamas turtas: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4521"/>
        <w:gridCol w:w="1275"/>
        <w:gridCol w:w="1277"/>
        <w:gridCol w:w="851"/>
        <w:gridCol w:w="426"/>
        <w:gridCol w:w="843"/>
      </w:tblGrid>
      <w:tr w:rsidR="008E5E51" w:rsidRPr="008E5E51" w:rsidTr="00F64AD9">
        <w:trPr>
          <w:cantSplit/>
          <w:trHeight w:val="1863"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  <w:hideMark/>
          </w:tcPr>
          <w:p w:rsidR="008E5E51" w:rsidRPr="008E5E51" w:rsidRDefault="008E5E51" w:rsidP="008E5E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348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  <w:hideMark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Turto pavadinimas</w:t>
            </w:r>
          </w:p>
        </w:tc>
        <w:tc>
          <w:tcPr>
            <w:tcW w:w="662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  <w:hideMark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Inventorinis Nr. arba atsargų registro kodas</w:t>
            </w:r>
          </w:p>
        </w:tc>
        <w:tc>
          <w:tcPr>
            <w:tcW w:w="663" w:type="pct"/>
            <w:textDirection w:val="btLr"/>
            <w:vAlign w:val="center"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Ilgalaikio turto eksploatacijos pradžios data ir inventoriaus įsigijimo metai</w:t>
            </w:r>
          </w:p>
        </w:tc>
        <w:tc>
          <w:tcPr>
            <w:tcW w:w="442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  <w:hideMark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Turto įsigijimo vertė, Eur</w:t>
            </w:r>
          </w:p>
        </w:tc>
        <w:tc>
          <w:tcPr>
            <w:tcW w:w="221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  <w:hideMark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Kiekis vnt.</w:t>
            </w:r>
          </w:p>
        </w:tc>
        <w:tc>
          <w:tcPr>
            <w:tcW w:w="438" w:type="pct"/>
            <w:textDirection w:val="btLr"/>
            <w:vAlign w:val="center"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arduodamo turto vieneto pradinė pardavimo kaina Eur.</w:t>
            </w:r>
          </w:p>
        </w:tc>
      </w:tr>
      <w:tr w:rsidR="008E5E51" w:rsidRPr="008E5E51" w:rsidTr="00F64AD9">
        <w:trPr>
          <w:cantSplit/>
          <w:trHeight w:val="17"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vAlign w:val="center"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5E51" w:rsidRPr="008E5E51" w:rsidRDefault="008E5E51" w:rsidP="008E5E51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5E51" w:rsidRPr="008E5E51" w:rsidTr="00F64AD9">
        <w:trPr>
          <w:trHeight w:val="225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8E5E51" w:rsidRPr="008E5E51" w:rsidRDefault="008E5E51" w:rsidP="008E5E51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Skaitmeninis fotoaparatas NIKON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130721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2006-12-21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370,71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E5E51" w:rsidRPr="008E5E51" w:rsidTr="00F64AD9">
        <w:trPr>
          <w:trHeight w:val="225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8E5E51" w:rsidRPr="008E5E51" w:rsidRDefault="008E5E51" w:rsidP="008E5E51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Toshiba e-</w:t>
            </w:r>
            <w:proofErr w:type="spellStart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 kopijavimo aparatas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160736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2007-12-01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1093,61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8E5E51" w:rsidRPr="008E5E51" w:rsidTr="00F64AD9">
        <w:trPr>
          <w:trHeight w:val="225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8E5E51" w:rsidRPr="008E5E51" w:rsidRDefault="008E5E51" w:rsidP="008E5E51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Mob.tel. SAMSUNG GRAND NEO i9060Plus 8GB </w:t>
            </w:r>
            <w:proofErr w:type="spellStart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NATS-01078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2015-12-14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392,04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8E5E51" w:rsidRPr="008E5E51" w:rsidTr="00F64AD9">
        <w:trPr>
          <w:trHeight w:val="225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8E5E51" w:rsidRPr="008E5E51" w:rsidRDefault="008E5E51" w:rsidP="008E5E51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E51" w:rsidRPr="008E5E51" w:rsidRDefault="008E5E51" w:rsidP="008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Telefonas LG H635 </w:t>
            </w:r>
            <w:proofErr w:type="spellStart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Stylus</w:t>
            </w:r>
            <w:proofErr w:type="spellEnd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8GB </w:t>
            </w:r>
            <w:proofErr w:type="spellStart"/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titan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NATS-01081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2015-12-14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711,48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</w:tcPr>
          <w:p w:rsidR="008E5E51" w:rsidRPr="008E5E51" w:rsidRDefault="008E5E51" w:rsidP="008E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E51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AD1FB8" w:rsidRDefault="00AD1FB8"/>
    <w:sectPr w:rsidR="00AD1FB8" w:rsidSect="0078614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28F"/>
    <w:multiLevelType w:val="hybridMultilevel"/>
    <w:tmpl w:val="33F8FC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6CBC"/>
    <w:multiLevelType w:val="hybridMultilevel"/>
    <w:tmpl w:val="E69471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 w:tplc="0427000F">
        <w:start w:val="1"/>
        <w:numFmt w:val="decimal"/>
        <w:suff w:val="nothing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A45BE"/>
    <w:rsid w:val="003D4115"/>
    <w:rsid w:val="004B5C52"/>
    <w:rsid w:val="005C337D"/>
    <w:rsid w:val="006D767E"/>
    <w:rsid w:val="0078614D"/>
    <w:rsid w:val="008E5E51"/>
    <w:rsid w:val="00AD1FB8"/>
    <w:rsid w:val="00BE367B"/>
    <w:rsid w:val="00C856C2"/>
    <w:rsid w:val="00D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1E8"/>
  <w15:chartTrackingRefBased/>
  <w15:docId w15:val="{422117EF-438B-4FD3-8448-D6251E9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C337D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3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61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61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s.siaurusevicius@vatesi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1680C06-FD9B-4BD0-BF6C-88523D6B2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77218-4083-4230-9D00-86847E2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C51D5-E564-43F9-8DD1-6F6FB95AF79A}">
  <ds:schemaRefs>
    <ds:schemaRef ds:uri="http://schemas.microsoft.com/office/2006/metadata/properties"/>
    <ds:schemaRef ds:uri="http://schemas.microsoft.com/office/infopath/2007/PartnerControls"/>
    <ds:schemaRef ds:uri="301c9014-1613-4fe0-8d68-5abdea84592c"/>
    <ds:schemaRef ds:uri="f70de6b8-3297-425e-8b0b-ce726e948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Helmutas Zabarauskas</dc:creator>
  <cp:keywords/>
  <dc:description/>
  <cp:lastModifiedBy>Helmutas Zabarauskas</cp:lastModifiedBy>
  <cp:revision>7</cp:revision>
  <dcterms:created xsi:type="dcterms:W3CDTF">2019-05-03T07:54:00Z</dcterms:created>
  <dcterms:modified xsi:type="dcterms:W3CDTF">2019-05-08T11:12:00Z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  <property fmtid="{D5CDD505-2E9C-101B-9397-08002B2CF9AE}" pid="4" name="Ecm4dDocBuildDocCoordination">
    <vt:bool>true</vt:bool>
  </property>
</Properties>
</file>